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19B71C59"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Pr>
          <w:rFonts w:ascii="Tahoma" w:hAnsi="Tahoma" w:cs="Tahoma"/>
          <w:b/>
          <w:lang w:val="de-DE"/>
        </w:rPr>
        <w:t>1</w:t>
      </w:r>
      <w:r w:rsidR="00ED792A">
        <w:rPr>
          <w:rFonts w:ascii="Tahoma" w:hAnsi="Tahoma" w:cs="Tahoma"/>
          <w:b/>
          <w:lang w:val="de-DE"/>
        </w:rPr>
        <w:t>884</w:t>
      </w:r>
      <w:r w:rsidRPr="00EB61F9">
        <w:rPr>
          <w:rFonts w:ascii="Tahoma" w:hAnsi="Tahoma" w:cs="Tahoma"/>
          <w:b/>
          <w:lang w:val="de-DE"/>
        </w:rPr>
        <w:t>/20</w:t>
      </w:r>
      <w:r w:rsidR="006D7903" w:rsidRPr="00EB61F9">
        <w:rPr>
          <w:rFonts w:ascii="Tahoma" w:hAnsi="Tahoma" w:cs="Tahoma"/>
          <w:b/>
          <w:lang w:val="de-DE"/>
        </w:rPr>
        <w:t>2</w:t>
      </w:r>
      <w:r w:rsidR="00ED792A">
        <w:rPr>
          <w:rFonts w:ascii="Tahoma" w:hAnsi="Tahoma" w:cs="Tahoma"/>
          <w:b/>
          <w:lang w:val="de-DE"/>
        </w:rPr>
        <w:t>2</w:t>
      </w:r>
      <w:r w:rsidRPr="00EB61F9">
        <w:rPr>
          <w:rFonts w:ascii="Tahoma" w:hAnsi="Tahoma" w:cs="Tahoma"/>
          <w:b/>
          <w:lang w:val="de-DE"/>
        </w:rPr>
        <w:t xml:space="preserve"> vom </w:t>
      </w:r>
      <w:r w:rsidR="00ED792A">
        <w:rPr>
          <w:rFonts w:ascii="Tahoma" w:hAnsi="Tahoma" w:cs="Tahoma"/>
          <w:b/>
          <w:lang w:val="de-DE"/>
        </w:rPr>
        <w:t>05</w:t>
      </w:r>
      <w:r w:rsidRPr="00EB61F9">
        <w:rPr>
          <w:rFonts w:ascii="Tahoma" w:hAnsi="Tahoma" w:cs="Tahoma"/>
          <w:b/>
          <w:lang w:val="de-DE"/>
        </w:rPr>
        <w:t>.</w:t>
      </w:r>
      <w:r w:rsidR="00155615">
        <w:rPr>
          <w:rFonts w:ascii="Tahoma" w:hAnsi="Tahoma" w:cs="Tahoma"/>
          <w:b/>
          <w:lang w:val="de-DE"/>
        </w:rPr>
        <w:t>1</w:t>
      </w:r>
      <w:r w:rsidR="00ED792A">
        <w:rPr>
          <w:rFonts w:ascii="Tahoma" w:hAnsi="Tahoma" w:cs="Tahoma"/>
          <w:b/>
          <w:lang w:val="de-DE"/>
        </w:rPr>
        <w:t>2</w:t>
      </w:r>
      <w:r w:rsidRPr="00EB61F9">
        <w:rPr>
          <w:rFonts w:ascii="Tahoma" w:hAnsi="Tahoma" w:cs="Tahoma"/>
          <w:b/>
          <w:lang w:val="de-DE"/>
        </w:rPr>
        <w:t>.20</w:t>
      </w:r>
      <w:r w:rsidR="00ED792A">
        <w:rPr>
          <w:rFonts w:ascii="Tahoma" w:hAnsi="Tahoma" w:cs="Tahoma"/>
          <w:b/>
          <w:lang w:val="de-DE"/>
        </w:rPr>
        <w:t>22</w:t>
      </w:r>
    </w:p>
    <w:p w14:paraId="3D655460" w14:textId="1095EED7"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6494D8B3" w:rsidR="00F1244C" w:rsidRPr="00ED792A"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155615" w:rsidRPr="00155615">
        <w:rPr>
          <w:rFonts w:ascii="Tahoma" w:hAnsi="Tahoma" w:cs="Tahoma"/>
          <w:b/>
          <w:lang w:val="de-DE"/>
        </w:rPr>
        <w:t xml:space="preserve">Kompetenzzentrum für </w:t>
      </w:r>
      <w:r w:rsidR="00ED792A">
        <w:rPr>
          <w:rFonts w:ascii="Tahoma" w:hAnsi="Tahoma" w:cs="Tahoma"/>
          <w:b/>
          <w:lang w:val="de-DE"/>
        </w:rPr>
        <w:t>„</w:t>
      </w:r>
      <w:r w:rsidR="00ED792A" w:rsidRPr="00ED792A">
        <w:rPr>
          <w:rFonts w:ascii="Tahoma" w:hAnsi="Tahoma" w:cs="Tahoma"/>
          <w:b/>
          <w:lang w:val="de-DE"/>
        </w:rPr>
        <w:t>Ökonomische, ökologische und soziale Nachhaltigkeit</w:t>
      </w:r>
      <w:r w:rsidR="00ED792A">
        <w:rPr>
          <w:rFonts w:ascii="Tahoma" w:hAnsi="Tahoma" w:cs="Tahoma"/>
          <w:b/>
          <w:lang w:val="de-DE"/>
        </w:rPr>
        <w:t>“</w:t>
      </w:r>
    </w:p>
    <w:p w14:paraId="2430317B" w14:textId="7E71B2B2"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00ED792A" w:rsidRPr="00ED792A">
        <w:rPr>
          <w:rFonts w:ascii="Tahoma" w:hAnsi="Tahoma" w:cs="Tahoma"/>
          <w:b/>
          <w:lang w:val="de-DE"/>
        </w:rPr>
        <w:t>09/C1 (Fluidtechnik, Energiesysteme und Energieerzeugung</w:t>
      </w:r>
      <w:r w:rsidRPr="00155615">
        <w:rPr>
          <w:rFonts w:ascii="Tahoma" w:hAnsi="Tahoma" w:cs="Tahoma"/>
          <w:b/>
          <w:lang w:val="de-DE"/>
        </w:rPr>
        <w:t>)</w:t>
      </w:r>
    </w:p>
    <w:p w14:paraId="6D8FD29F" w14:textId="3A0B2192"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ED792A" w:rsidRPr="00ED792A">
        <w:rPr>
          <w:rFonts w:ascii="Tahoma" w:hAnsi="Tahoma" w:cs="Tahoma"/>
          <w:b/>
          <w:lang w:val="de-DE"/>
        </w:rPr>
        <w:t>ING-IND/08 (Grundlagen der Maschinentechnik und Ölhydraulik) und ING-IND/09 (Energiesysteme und Energieerzeugung</w:t>
      </w:r>
      <w:r w:rsidRPr="00155615">
        <w:rPr>
          <w:rFonts w:ascii="Tahoma" w:hAnsi="Tahoma" w:cs="Tahoma"/>
          <w:b/>
          <w:lang w:val="de-DE"/>
        </w:rPr>
        <w:t>)</w:t>
      </w:r>
    </w:p>
    <w:p w14:paraId="52E9AA82" w14:textId="25168F9A"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Der/Die Unterfertigte Name</w:t>
      </w:r>
      <w:proofErr w:type="gramStart"/>
      <w:r w:rsidRPr="00B74237">
        <w:rPr>
          <w:rFonts w:ascii="Tahoma" w:hAnsi="Tahoma" w:cs="Tahoma"/>
          <w:lang w:val="de-DE"/>
        </w:rPr>
        <w:t xml:space="preserve"> </w:t>
      </w:r>
      <w:r w:rsidR="00F1244C" w:rsidRPr="00B74237">
        <w:rPr>
          <w:rFonts w:ascii="Tahoma" w:hAnsi="Tahoma" w:cs="Tahoma"/>
          <w:lang w:val="de-DE"/>
        </w:rPr>
        <w:t>....</w:t>
      </w:r>
      <w:proofErr w:type="gramEnd"/>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w:t>
      </w:r>
      <w:proofErr w:type="gramStart"/>
      <w:r w:rsidRPr="00B74237">
        <w:rPr>
          <w:rFonts w:ascii="Tahoma" w:hAnsi="Tahoma" w:cs="Tahoma"/>
          <w:lang w:val="de-DE"/>
        </w:rPr>
        <w:t xml:space="preserve"> .…</w:t>
      </w:r>
      <w:proofErr w:type="gramEnd"/>
      <w:r w:rsidRPr="00B74237">
        <w:rPr>
          <w:rFonts w:ascii="Tahoma" w:hAnsi="Tahoma" w:cs="Tahoma"/>
          <w:lang w:val="de-DE"/>
        </w:rPr>
        <w:t>…………..... Postleitzahl …………………………………</w:t>
      </w:r>
      <w:proofErr w:type="gramStart"/>
      <w:r w:rsidRPr="00B74237">
        <w:rPr>
          <w:rFonts w:ascii="Tahoma" w:hAnsi="Tahoma" w:cs="Tahoma"/>
          <w:lang w:val="de-DE"/>
        </w:rPr>
        <w:t>…....</w:t>
      </w:r>
      <w:proofErr w:type="gramEnd"/>
      <w:r w:rsidRPr="00B74237">
        <w:rPr>
          <w:rFonts w:ascii="Tahoma" w:hAnsi="Tahoma" w:cs="Tahoma"/>
          <w:lang w:val="de-DE"/>
        </w:rPr>
        <w:t>.;</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387E9E0"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ED792A">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 für den ausgeschriebenen Wettbewerbsbereich </w:t>
      </w:r>
    </w:p>
    <w:p w14:paraId="268593CD" w14:textId="3E39B7F0"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ED792A">
        <w:rPr>
          <w:rFonts w:ascii="Tahoma" w:hAnsi="Tahoma" w:cs="Tahoma"/>
          <w:lang w:val="de-DE"/>
        </w:rPr>
        <w:t>/</w:t>
      </w:r>
      <w:r w:rsidR="00ED792A">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57FEC207"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ED792A" w:rsidRPr="00ED792A">
        <w:rPr>
          <w:rFonts w:ascii="Tahoma" w:hAnsi="Tahoma" w:cs="Tahoma"/>
          <w:lang w:val="de-DE"/>
        </w:rPr>
        <w:t>Forschungsdoktorat oder gleichwertiger Studientitel in den Bereichen des Forschungsprogramms</w:t>
      </w:r>
      <w:r w:rsidRPr="00637901">
        <w:rPr>
          <w:rFonts w:ascii="Tahoma" w:hAnsi="Tahoma" w:cs="Tahoma"/>
          <w:lang w:val="de-DE"/>
        </w:rPr>
        <w:t xml:space="preserve">; </w:t>
      </w:r>
    </w:p>
    <w:p w14:paraId="16C12B08" w14:textId="681768C6"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ED792A" w:rsidRPr="00ED792A">
        <w:rPr>
          <w:rFonts w:ascii="Tahoma" w:hAnsi="Tahoma" w:cs="Tahoma"/>
          <w:lang w:val="de-DE"/>
        </w:rPr>
        <w:t>dokumentierte Forschungstätigkeit oder unternehmerische oder berufliche Tätigkeit, welche für die Bereiche des gegenständlichen Programms von besonderer Bedeutung ist</w:t>
      </w:r>
      <w:bookmarkStart w:id="0" w:name="_GoBack"/>
      <w:bookmarkEnd w:id="0"/>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roofErr w:type="gramStart"/>
      <w:r w:rsidRPr="00B74237">
        <w:rPr>
          <w:rFonts w:ascii="Tahoma" w:hAnsi="Tahoma" w:cs="Tahoma"/>
        </w:rPr>
        <w:t>…….</w:t>
      </w:r>
      <w:proofErr w:type="gramEnd"/>
      <w:r w:rsidRPr="00B74237">
        <w:rPr>
          <w:rFonts w:ascii="Tahoma" w:hAnsi="Tahoma" w:cs="Tahoma"/>
        </w:rPr>
        <w:t>.</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roofErr w:type="gramStart"/>
      <w:r w:rsidRPr="00B74237">
        <w:rPr>
          <w:rFonts w:ascii="Tahoma" w:hAnsi="Tahoma" w:cs="Tahoma"/>
        </w:rPr>
        <w:t>…….</w:t>
      </w:r>
      <w:proofErr w:type="gramEnd"/>
      <w:r w:rsidRPr="00B74237">
        <w:rPr>
          <w:rFonts w:ascii="Tahoma" w:hAnsi="Tahoma" w:cs="Tahoma"/>
        </w:rPr>
        <w:t>………………………………………….</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roofErr w:type="gramStart"/>
      <w:r w:rsidRPr="00B74237">
        <w:rPr>
          <w:rFonts w:ascii="Tahoma" w:hAnsi="Tahoma" w:cs="Tahoma"/>
        </w:rPr>
        <w:t>…….</w:t>
      </w:r>
      <w:proofErr w:type="gramEnd"/>
      <w:r w:rsidRPr="00B74237">
        <w:rPr>
          <w:rFonts w:ascii="Tahoma" w:hAnsi="Tahoma" w:cs="Tahoma"/>
        </w:rPr>
        <w:t>.………………………………….</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w:t>
      </w:r>
      <w:proofErr w:type="gramStart"/>
      <w:r w:rsidRPr="00B74237">
        <w:rPr>
          <w:rFonts w:ascii="Tahoma" w:hAnsi="Tahoma"/>
          <w:lang w:val="de-DE"/>
        </w:rPr>
        <w:t>…….</w:t>
      </w:r>
      <w:proofErr w:type="gramEnd"/>
      <w:r w:rsidRPr="00B74237">
        <w:rPr>
          <w:rFonts w:ascii="Tahoma" w:hAnsi="Tahoma"/>
          <w:lang w:val="de-DE"/>
        </w:rPr>
        <w:t xml:space="preserve">. Aus diesem Grund benötige ich für die Abhaltung des Kolloquiums folgendes Hilfsmittel ............................................ sowie folgende zusätzliche Zeiten </w:t>
      </w:r>
      <w:proofErr w:type="gramStart"/>
      <w:r w:rsidRPr="00B74237">
        <w:rPr>
          <w:rFonts w:ascii="Tahoma" w:hAnsi="Tahoma"/>
          <w:lang w:val="de-DE"/>
        </w:rPr>
        <w:t>............................................. .</w:t>
      </w:r>
      <w:proofErr w:type="gramEnd"/>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ED792A"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Die/Der unterfertigte Name ................…</w:t>
      </w:r>
      <w:proofErr w:type="gramStart"/>
      <w:r w:rsidRPr="00142032">
        <w:rPr>
          <w:rFonts w:ascii="Tahoma" w:hAnsi="Tahoma" w:cs="Tahoma"/>
          <w:lang w:val="de-DE"/>
        </w:rPr>
        <w:t>…….</w:t>
      </w:r>
      <w:proofErr w:type="gramEnd"/>
      <w:r w:rsidRPr="00142032">
        <w:rPr>
          <w:rFonts w:ascii="Tahoma" w:hAnsi="Tahoma" w:cs="Tahoma"/>
          <w:lang w:val="de-DE"/>
        </w:rPr>
        <w:t>.……............................................... Zuname ..........................……</w:t>
      </w:r>
      <w:proofErr w:type="gramStart"/>
      <w:r w:rsidRPr="00142032">
        <w:rPr>
          <w:rFonts w:ascii="Tahoma" w:hAnsi="Tahoma" w:cs="Tahoma"/>
          <w:lang w:val="de-DE"/>
        </w:rPr>
        <w:t>..................................... ,</w:t>
      </w:r>
      <w:proofErr w:type="gramEnd"/>
      <w:r w:rsidRPr="00142032">
        <w:rPr>
          <w:rFonts w:ascii="Tahoma" w:hAnsi="Tahoma" w:cs="Tahoma"/>
          <w:lang w:val="de-DE"/>
        </w:rPr>
        <w:t xml:space="preserve"> geboren in .......................…............................ (Prov.</w:t>
      </w:r>
      <w:proofErr w:type="gramStart"/>
      <w:r w:rsidRPr="00142032">
        <w:rPr>
          <w:rFonts w:ascii="Tahoma" w:hAnsi="Tahoma" w:cs="Tahoma"/>
          <w:lang w:val="de-DE"/>
        </w:rPr>
        <w:t xml:space="preserve"> ....</w:t>
      </w:r>
      <w:proofErr w:type="gramEnd"/>
      <w:r w:rsidRPr="00142032">
        <w:rPr>
          <w:rFonts w:ascii="Tahoma" w:hAnsi="Tahoma" w:cs="Tahoma"/>
          <w:lang w:val="de-DE"/>
        </w:rPr>
        <w:t>. ), am ............................ wohnhaft in</w:t>
      </w:r>
      <w:proofErr w:type="gramStart"/>
      <w:r w:rsidRPr="00142032">
        <w:rPr>
          <w:rFonts w:ascii="Tahoma" w:hAnsi="Tahoma" w:cs="Tahoma"/>
          <w:lang w:val="de-DE"/>
        </w:rPr>
        <w:t xml:space="preserve"> ....</w:t>
      </w:r>
      <w:proofErr w:type="gramEnd"/>
      <w:r w:rsidRPr="00142032">
        <w:rPr>
          <w:rFonts w:ascii="Tahoma" w:hAnsi="Tahoma" w:cs="Tahoma"/>
          <w:lang w:val="de-DE"/>
        </w:rPr>
        <w:t>…………....................................................... (Prov.</w:t>
      </w:r>
      <w:proofErr w:type="gramStart"/>
      <w:r w:rsidRPr="00142032">
        <w:rPr>
          <w:rFonts w:ascii="Tahoma" w:hAnsi="Tahoma" w:cs="Tahoma"/>
          <w:lang w:val="de-DE"/>
        </w:rPr>
        <w:t xml:space="preserve"> ..</w:t>
      </w:r>
      <w:proofErr w:type="gramEnd"/>
      <w:r w:rsidRPr="00142032">
        <w:rPr>
          <w:rFonts w:ascii="Tahoma" w:hAnsi="Tahoma" w:cs="Tahoma"/>
          <w:lang w:val="de-DE"/>
        </w:rPr>
        <w:t xml:space="preserve">…..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roofErr w:type="gramStart"/>
      <w:r w:rsidRPr="00142032">
        <w:rPr>
          <w:rFonts w:ascii="Tahoma" w:hAnsi="Tahoma" w:cs="Tahoma"/>
          <w:lang w:val="de-DE"/>
        </w:rPr>
        <w:t>…….</w:t>
      </w:r>
      <w:proofErr w:type="gramEnd"/>
      <w:r w:rsidRPr="00142032">
        <w:rPr>
          <w:rFonts w:ascii="Tahoma" w:hAnsi="Tahoma" w:cs="Tahoma"/>
          <w:lang w:val="de-DE"/>
        </w:rPr>
        <w:t>……………………………..</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w:t>
      </w:r>
      <w:proofErr w:type="gramStart"/>
      <w:r w:rsidR="00AD28EB" w:rsidRPr="00142032">
        <w:rPr>
          <w:rFonts w:ascii="Tahoma" w:hAnsi="Tahoma" w:cs="Tahoma"/>
          <w:lang w:val="de-DE"/>
        </w:rPr>
        <w:t xml:space="preserve"> ….</w:t>
      </w:r>
      <w:proofErr w:type="gramEnd"/>
      <w:r w:rsidR="00AD28EB" w:rsidRPr="00142032">
        <w:rPr>
          <w:rFonts w:ascii="Tahoma" w:hAnsi="Tahoma" w:cs="Tahoma"/>
          <w:lang w:val="de-DE"/>
        </w:rPr>
        <w:t>“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ED792A">
        <w:rPr>
          <w:rFonts w:ascii="Tahoma" w:hAnsi="Tahoma" w:cs="Tahoma"/>
          <w:lang w:val="en-US"/>
        </w:rPr>
        <w:br w:type="page"/>
      </w:r>
      <w:r w:rsidR="00C23E36">
        <w:rPr>
          <w:rFonts w:ascii="Tahoma" w:hAnsi="Tahoma" w:cs="Tahoma"/>
          <w:b/>
          <w:bCs/>
          <w:sz w:val="28"/>
          <w:szCs w:val="28"/>
          <w:lang w:val="en-GB"/>
        </w:rPr>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1"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ED792A"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ED792A"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ED792A"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D792A"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ED792A"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ED792A"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ED792A"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ED792A"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ED792A"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ED792A"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ED792A"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ED792A"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ED792A"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1"/>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1D12D979" w14:textId="77777777" w:rsidR="00ED792A" w:rsidRPr="0083105A" w:rsidRDefault="00ED792A" w:rsidP="00ED792A">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Pr>
          <w:rFonts w:ascii="Tahoma" w:hAnsi="Tahoma" w:cs="Tahoma"/>
          <w:b/>
          <w:lang w:val="de-DE"/>
        </w:rPr>
        <w:t>1884</w:t>
      </w:r>
      <w:r w:rsidRPr="00EB61F9">
        <w:rPr>
          <w:rFonts w:ascii="Tahoma" w:hAnsi="Tahoma" w:cs="Tahoma"/>
          <w:b/>
          <w:lang w:val="de-DE"/>
        </w:rPr>
        <w:t>/202</w:t>
      </w:r>
      <w:r>
        <w:rPr>
          <w:rFonts w:ascii="Tahoma" w:hAnsi="Tahoma" w:cs="Tahoma"/>
          <w:b/>
          <w:lang w:val="de-DE"/>
        </w:rPr>
        <w:t>2</w:t>
      </w:r>
      <w:r w:rsidRPr="00EB61F9">
        <w:rPr>
          <w:rFonts w:ascii="Tahoma" w:hAnsi="Tahoma" w:cs="Tahoma"/>
          <w:b/>
          <w:lang w:val="de-DE"/>
        </w:rPr>
        <w:t xml:space="preserve"> vom </w:t>
      </w:r>
      <w:r>
        <w:rPr>
          <w:rFonts w:ascii="Tahoma" w:hAnsi="Tahoma" w:cs="Tahoma"/>
          <w:b/>
          <w:lang w:val="de-DE"/>
        </w:rPr>
        <w:t>05</w:t>
      </w:r>
      <w:r w:rsidRPr="00EB61F9">
        <w:rPr>
          <w:rFonts w:ascii="Tahoma" w:hAnsi="Tahoma" w:cs="Tahoma"/>
          <w:b/>
          <w:lang w:val="de-DE"/>
        </w:rPr>
        <w:t>.</w:t>
      </w:r>
      <w:r>
        <w:rPr>
          <w:rFonts w:ascii="Tahoma" w:hAnsi="Tahoma" w:cs="Tahoma"/>
          <w:b/>
          <w:lang w:val="de-DE"/>
        </w:rPr>
        <w:t>12</w:t>
      </w:r>
      <w:r w:rsidRPr="00EB61F9">
        <w:rPr>
          <w:rFonts w:ascii="Tahoma" w:hAnsi="Tahoma" w:cs="Tahoma"/>
          <w:b/>
          <w:lang w:val="de-DE"/>
        </w:rPr>
        <w:t>.20</w:t>
      </w:r>
      <w:r>
        <w:rPr>
          <w:rFonts w:ascii="Tahoma" w:hAnsi="Tahoma" w:cs="Tahoma"/>
          <w:b/>
          <w:lang w:val="de-DE"/>
        </w:rPr>
        <w:t>22</w:t>
      </w:r>
    </w:p>
    <w:p w14:paraId="772DCAA6" w14:textId="77777777" w:rsidR="00ED792A" w:rsidRPr="00D92629" w:rsidRDefault="00ED792A" w:rsidP="00ED792A">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32C43E63" w14:textId="77777777" w:rsidR="00ED792A" w:rsidRPr="00ED792A" w:rsidRDefault="00ED792A" w:rsidP="00ED792A">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Pr="00155615">
        <w:rPr>
          <w:rFonts w:ascii="Tahoma" w:hAnsi="Tahoma" w:cs="Tahoma"/>
          <w:b/>
          <w:lang w:val="de-DE"/>
        </w:rPr>
        <w:t xml:space="preserve">Kompetenzzentrum für </w:t>
      </w:r>
      <w:r>
        <w:rPr>
          <w:rFonts w:ascii="Tahoma" w:hAnsi="Tahoma" w:cs="Tahoma"/>
          <w:b/>
          <w:lang w:val="de-DE"/>
        </w:rPr>
        <w:t>„</w:t>
      </w:r>
      <w:r w:rsidRPr="00ED792A">
        <w:rPr>
          <w:rFonts w:ascii="Tahoma" w:hAnsi="Tahoma" w:cs="Tahoma"/>
          <w:b/>
          <w:lang w:val="de-DE"/>
        </w:rPr>
        <w:t>Ökonomische, ökologische und soziale Nachhaltigkeit</w:t>
      </w:r>
      <w:r>
        <w:rPr>
          <w:rFonts w:ascii="Tahoma" w:hAnsi="Tahoma" w:cs="Tahoma"/>
          <w:b/>
          <w:lang w:val="de-DE"/>
        </w:rPr>
        <w:t>“</w:t>
      </w:r>
    </w:p>
    <w:p w14:paraId="2D9A2E03" w14:textId="77777777" w:rsidR="00ED792A" w:rsidRPr="00155615" w:rsidRDefault="00ED792A" w:rsidP="00ED792A">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Pr="00ED792A">
        <w:rPr>
          <w:rFonts w:ascii="Tahoma" w:hAnsi="Tahoma" w:cs="Tahoma"/>
          <w:b/>
          <w:lang w:val="de-DE"/>
        </w:rPr>
        <w:t>09/C1 (Fluidtechnik, Energiesysteme und Energieerzeugung</w:t>
      </w:r>
      <w:r w:rsidRPr="00155615">
        <w:rPr>
          <w:rFonts w:ascii="Tahoma" w:hAnsi="Tahoma" w:cs="Tahoma"/>
          <w:b/>
          <w:lang w:val="de-DE"/>
        </w:rPr>
        <w:t>)</w:t>
      </w:r>
    </w:p>
    <w:p w14:paraId="0EE3FEF6" w14:textId="77777777" w:rsidR="00ED792A" w:rsidRDefault="00ED792A" w:rsidP="00ED792A">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Pr="00ED792A">
        <w:rPr>
          <w:rFonts w:ascii="Tahoma" w:hAnsi="Tahoma" w:cs="Tahoma"/>
          <w:b/>
          <w:lang w:val="de-DE"/>
        </w:rPr>
        <w:t>ING-IND/08 (Grundlagen der Maschinentechnik und Ölhydraulik) und ING-IND/09 (Energiesysteme und Energieerzeugung</w:t>
      </w:r>
      <w:r w:rsidRPr="00155615">
        <w:rPr>
          <w:rFonts w:ascii="Tahoma" w:hAnsi="Tahoma" w:cs="Tahoma"/>
          <w:b/>
          <w:lang w:val="de-DE"/>
        </w:rPr>
        <w:t>)</w:t>
      </w:r>
    </w:p>
    <w:p w14:paraId="7F0C4863" w14:textId="26489F81" w:rsidR="009712F7" w:rsidRPr="00ED792A" w:rsidRDefault="00ED792A" w:rsidP="00ED792A">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3289AA01" w14:textId="615EC8BE" w:rsidR="00E8767A" w:rsidRPr="00DF0796" w:rsidRDefault="00E8767A" w:rsidP="00E8767A">
      <w:pPr>
        <w:widowControl w:val="0"/>
        <w:jc w:val="both"/>
        <w:rPr>
          <w:rFonts w:ascii="Tahoma" w:hAnsi="Tahoma" w:cs="Tahoma"/>
          <w:i/>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ED792A"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ED792A"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ED792A"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ED792A"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ED792A"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ED792A"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ED792A"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ED792A"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4"/>
  </w:num>
  <w:num w:numId="4">
    <w:abstractNumId w:val="15"/>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3"/>
  </w:num>
  <w:num w:numId="12">
    <w:abstractNumId w:val="11"/>
  </w:num>
  <w:num w:numId="13">
    <w:abstractNumId w:val="8"/>
  </w:num>
  <w:num w:numId="14">
    <w:abstractNumId w:val="4"/>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D792A"/>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B432-4DA0-4371-A6CF-C0EAA2E8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4479</Words>
  <Characters>25531</Characters>
  <Application>Microsoft Office Word</Application>
  <DocSecurity>0</DocSecurity>
  <Lines>212</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29951</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Carreri Marco</cp:lastModifiedBy>
  <cp:revision>8</cp:revision>
  <cp:lastPrinted>2012-04-27T07:53:00Z</cp:lastPrinted>
  <dcterms:created xsi:type="dcterms:W3CDTF">2020-07-16T08:37:00Z</dcterms:created>
  <dcterms:modified xsi:type="dcterms:W3CDTF">2022-12-05T11:47:00Z</dcterms:modified>
</cp:coreProperties>
</file>